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1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INTESTATA DELL’ISTITUZIONE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5.826771653543" w:right="-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5.826771653543" w:right="-4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personale assegnato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5385.826771653543" w:right="-149.5275590551165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all'istituzione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scolastica/formativa provinciale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5.826771653543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59" w:line="240" w:lineRule="auto"/>
        <w:rPr/>
      </w:pPr>
      <w:r w:rsidDel="00000000" w:rsidR="00000000" w:rsidRPr="00000000">
        <w:rPr>
          <w:rtl w:val="0"/>
        </w:rPr>
        <w:t xml:space="preserve">Luogo, </w:t>
      </w:r>
    </w:p>
    <w:p w:rsidR="00000000" w:rsidDel="00000000" w:rsidP="00000000" w:rsidRDefault="00000000" w:rsidRPr="00000000" w14:paraId="00000008">
      <w:pPr>
        <w:widowControl w:val="0"/>
        <w:spacing w:before="200" w:line="240" w:lineRule="auto"/>
        <w:ind w:left="28" w:right="1004" w:firstLine="2.0000000000000018"/>
        <w:rPr/>
      </w:pPr>
      <w:r w:rsidDel="00000000" w:rsidR="00000000" w:rsidRPr="00000000">
        <w:rPr>
          <w:rtl w:val="0"/>
        </w:rPr>
        <w:t xml:space="preserve">Prot. (codice titolario/anno-numero fascicolo)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line="264" w:lineRule="auto"/>
        <w:ind w:right="4669.3700787401585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Numero di protocollo associato al documento come metadato (DPCM 3.12.2013, art. 20). La segnatura di protocollo è verificabile in alto a destra oppure nell'oggetto della PEC o nei file allegati alla medesima. Data di registrazione inclusa nella segnatura di protocollo.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adozione atto di richiamo al rispetto del Codice di comportamento dei dipendenti pubblici e delle disposizioni normative in materia di richiesta di autorizzazione per lo svolgimento di incarichi esterni.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DI COMPORTAMENTO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Giunta provinciale con la deliberazione del 18 luglio 2014, n.1217 ha approvato il </w:t>
      </w:r>
      <w:hyperlink r:id="rId6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Codice di comportamento dei dipendenti della P.A.T. e degli enti strumentali.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</w:t>
      </w:r>
      <w:hyperlink r:id="rId7">
        <w:r w:rsidDel="00000000" w:rsidR="00000000" w:rsidRPr="00000000">
          <w:rPr>
            <w:i w:val="0"/>
            <w:smallCaps w:val="0"/>
            <w:strike w:val="0"/>
            <w:color w:val="1155cc"/>
            <w:highlight w:val="white"/>
            <w:u w:val="single"/>
            <w:vertAlign w:val="baseline"/>
            <w:rtl w:val="0"/>
          </w:rPr>
          <w:t xml:space="preserve">"</w:t>
        </w:r>
      </w:hyperlink>
      <w:hyperlink r:id="rId8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Piano triennale per la prevenzione della corruzione e per la trasparenza nel sistema educativo provinciale 202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4</w:t>
        </w:r>
      </w:hyperlink>
      <w:hyperlink r:id="rId10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-202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6</w:t>
        </w:r>
      </w:hyperlink>
      <w:hyperlink r:id="rId12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"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all’articolo 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prevede che tutti i dipendenti delle istituzioni scolastiche e formative provinciali siano tenuti “alla conoscenza e all’osservanza del Codice di comportamento dei dipendenti della Provincia autonoma di Trento e degli enti strumentali”. Per l’illustrazione di tali disposizioni è convocata una riunione per il giorno ______ alle ore _______ presso ____________. [VALUTA IL DIRIGENTE L'OPPORTUNITÀ DI FARE LA RIUNIONE]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ricorda che la violazione dei doveri sanciti nel Codice è fonte di responsabilità disciplinare, da accertarsi all'esito del procedimento disciplinare, e che nei casi di gravi o reiterate violazioni è previsto il licenziamento del dipendente, nel rispetto dei principi di gradualità e proporzionalità delle sanzioni. Le disposizioni del Codice sono poste a presidio del regolare svolgimento dell’azione amministrativa e del comportamento del pubblico dipendente che deve essere improntato ai principi di correttezza, buona fede e integrità e perseguire l’interesse pubblico. La pubblica amministrazione è in grado di raggiungere gli obiettivi di trasparenza e di efficacia anche grazie al rispetto da parte dei dipendenti provinciali delle disposizioni del Codice di comportamento.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Nella convinzione che ciascuno di Voi conformi la propria condotta in servizio ai principi costituzionali della buona amministrazione e dell'imparzialità, Vi invito anche ad una attenta lettura del Codice di comportamento.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AUTORIZZAZIONE INCARICHI ESTERNI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ricorda inoltre che i dipendenti pubblici possono prestare attività extralavorative solo dopo aver acquisito l’autorizzazione prevista; tutte le informazioni relative alle autorizzazioni allo svolgimento di attività extra-lavorative e anagrafe prestazioni sono presenti al seguente indirizzo: </w:t>
      </w:r>
      <w:hyperlink r:id="rId13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Attività extralavorative e incompatibilità / Gestione della posizione lavorativa / Tematiche - Vivoscuola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Cordiali saluti.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 o formativo</w:t>
      </w:r>
    </w:p>
    <w:p w:rsidR="00000000" w:rsidDel="00000000" w:rsidP="00000000" w:rsidRDefault="00000000" w:rsidRPr="00000000" w14:paraId="00000020">
      <w:pPr>
        <w:spacing w:before="100" w:line="240" w:lineRule="auto"/>
        <w:ind w:left="454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Questa nota, se trasmessa in forma cartacea, costituisce copia dell’originale informatico firmato digitalmente, predisposto e conservato presso questa Amministrazione in conformità alle Linee guida AgID (artt. 3 bis, c. 4 bis, e 71 D.Lgs. 82/2005). La firma autografa è sostituita dall'indicazione a stampa del nominativo del responsabile (art. 3 D.Lgs. 39/1993).</w:t>
      </w:r>
    </w:p>
    <w:p w:rsidR="00000000" w:rsidDel="00000000" w:rsidP="00000000" w:rsidRDefault="00000000" w:rsidRPr="00000000" w14:paraId="00000021">
      <w:pPr>
        <w:spacing w:before="100" w:line="276" w:lineRule="auto"/>
        <w:ind w:left="4535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Allegati: c.s.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d5a6bd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51" w:line="240" w:lineRule="auto"/>
      <w:ind w:left="0" w:right="-40" w:firstLine="0"/>
      <w:jc w:val="righ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Circolare n. 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“ANTICORRUZIONE-TRASPARENZA”   ALLEGATO 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ivoscuola.it/Atti-e-Normativa/Delibere/Piano-triennale-per-la-prevenzione-della-corruzione-e-per-la-trasparenza-nel-sistema-educativo-provinciale" TargetMode="External"/><Relationship Id="rId10" Type="http://schemas.openxmlformats.org/officeDocument/2006/relationships/hyperlink" Target="https://www.vivoscuola.it/Atti-e-Normativa/Delibere/Piano-triennale-per-la-prevenzione-della-corruzione-e-per-la-trasparenza-nel-sistema-educativo-provinciale" TargetMode="External"/><Relationship Id="rId13" Type="http://schemas.openxmlformats.org/officeDocument/2006/relationships/hyperlink" Target="https://www.vivoscuola.it/vivoscuola/tags_view/Tematiche/Gestione+della+posizione+lavorativa/Attivit%C3%A0+extralavorative+e+incompatibilit%C3%A0" TargetMode="External"/><Relationship Id="rId12" Type="http://schemas.openxmlformats.org/officeDocument/2006/relationships/hyperlink" Target="https://www.vivoscuola.it/Atti-e-Normativa/Delibere/Piano-triennale-per-la-prevenzione-della-corruzione-e-per-la-trasparenza-nel-sistema-educativo-provincia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voscuola.it/Atti-e-Normativa/Delibere/Piano-triennale-per-la-prevenzione-della-corruzione-e-per-la-trasparenza-nel-sistema-educativo-provinciale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rilascuola.provincia.tn.it/sei/api/amministrazioneTrasparente/downloadDocumento/6660572" TargetMode="External"/><Relationship Id="rId7" Type="http://schemas.openxmlformats.org/officeDocument/2006/relationships/hyperlink" Target="http://www.delibere.provincia.tn.it/scripts/VediProvvedimento.asp?Modalita=Delibere&amp;numero=466&amp;anno=2021" TargetMode="External"/><Relationship Id="rId8" Type="http://schemas.openxmlformats.org/officeDocument/2006/relationships/hyperlink" Target="https://www.vivoscuola.it/Atti-e-Normativa/Delibere/Piano-triennale-per-la-prevenzione-della-corruzione-e-per-la-trasparenza-nel-sistema-educativo-provincia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